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C9C75" w14:textId="77777777" w:rsidR="00482991" w:rsidRPr="00482991" w:rsidRDefault="00482991" w:rsidP="00482991">
      <w:pPr>
        <w:jc w:val="both"/>
        <w:rPr>
          <w:rFonts w:asciiTheme="minorHAnsi" w:hAnsiTheme="minorHAnsi" w:cstheme="minorHAnsi"/>
          <w:sz w:val="28"/>
          <w:szCs w:val="28"/>
        </w:rPr>
      </w:pPr>
      <w:bookmarkStart w:id="0" w:name="_GoBack"/>
      <w:bookmarkEnd w:id="0"/>
      <w:r>
        <w:rPr>
          <w:rFonts w:asciiTheme="minorHAnsi" w:hAnsiTheme="minorHAnsi" w:cstheme="minorHAnsi"/>
          <w:sz w:val="28"/>
          <w:szCs w:val="28"/>
        </w:rPr>
        <w:t>Vejledning og regler vedr. a</w:t>
      </w:r>
      <w:r w:rsidRPr="00482991">
        <w:rPr>
          <w:rFonts w:asciiTheme="minorHAnsi" w:hAnsiTheme="minorHAnsi" w:cstheme="minorHAnsi"/>
          <w:sz w:val="28"/>
          <w:szCs w:val="28"/>
        </w:rPr>
        <w:t xml:space="preserve">nsættelse af løsøreværdi samt udfyldelse af løsøreattester ved salg af kolonihavehus </w:t>
      </w:r>
    </w:p>
    <w:p w14:paraId="550B2858" w14:textId="77777777" w:rsidR="00482991" w:rsidRDefault="00482991" w:rsidP="00482991">
      <w:pPr>
        <w:jc w:val="both"/>
        <w:rPr>
          <w:rFonts w:asciiTheme="minorHAnsi" w:hAnsiTheme="minorHAnsi" w:cstheme="minorHAnsi"/>
          <w:b/>
          <w:bCs/>
        </w:rPr>
      </w:pPr>
    </w:p>
    <w:p w14:paraId="28178AEB" w14:textId="77777777" w:rsidR="00482991" w:rsidRPr="00482991" w:rsidRDefault="00482991" w:rsidP="00482991">
      <w:pPr>
        <w:jc w:val="both"/>
        <w:rPr>
          <w:rFonts w:asciiTheme="minorHAnsi" w:hAnsiTheme="minorHAnsi" w:cstheme="minorHAnsi"/>
          <w:b/>
          <w:bCs/>
        </w:rPr>
      </w:pPr>
      <w:r w:rsidRPr="00482991">
        <w:rPr>
          <w:rFonts w:asciiTheme="minorHAnsi" w:hAnsiTheme="minorHAnsi" w:cstheme="minorHAnsi"/>
          <w:b/>
          <w:bCs/>
        </w:rPr>
        <w:t>Hvad er løsøre</w:t>
      </w:r>
    </w:p>
    <w:p w14:paraId="2A390FC5" w14:textId="77777777" w:rsidR="00482991" w:rsidRDefault="00482991" w:rsidP="00482991">
      <w:pPr>
        <w:jc w:val="both"/>
        <w:rPr>
          <w:rFonts w:asciiTheme="minorHAnsi" w:hAnsiTheme="minorHAnsi" w:cstheme="minorHAnsi"/>
        </w:rPr>
      </w:pPr>
      <w:r w:rsidRPr="00482991">
        <w:rPr>
          <w:rFonts w:asciiTheme="minorHAnsi" w:hAnsiTheme="minorHAnsi" w:cstheme="minorHAnsi"/>
        </w:rPr>
        <w:t>Alt hvad der ikke er mur- og nagelfast i de bygninger man overtager på den lejede grund. Altså alt hvad der kan fjernes uden at forringe hverken bygningskonstruktion, de faste installationer og deres ledningsføring såvel ude som inden samt kloakinstallation og dennes rørføring.</w:t>
      </w:r>
    </w:p>
    <w:p w14:paraId="6A1ECD75" w14:textId="77777777" w:rsidR="00482991" w:rsidRPr="00482991" w:rsidRDefault="00482991" w:rsidP="00482991">
      <w:pPr>
        <w:jc w:val="both"/>
        <w:rPr>
          <w:rFonts w:asciiTheme="minorHAnsi" w:hAnsiTheme="minorHAnsi" w:cstheme="minorHAnsi"/>
        </w:rPr>
      </w:pPr>
    </w:p>
    <w:p w14:paraId="3ABCF9FD" w14:textId="77777777" w:rsidR="00482991" w:rsidRDefault="00482991" w:rsidP="00482991">
      <w:pPr>
        <w:jc w:val="both"/>
        <w:rPr>
          <w:rFonts w:asciiTheme="minorHAnsi" w:hAnsiTheme="minorHAnsi" w:cstheme="minorHAnsi"/>
        </w:rPr>
      </w:pPr>
      <w:r w:rsidRPr="00482991">
        <w:rPr>
          <w:rFonts w:asciiTheme="minorHAnsi" w:hAnsiTheme="minorHAnsi" w:cstheme="minorHAnsi"/>
        </w:rPr>
        <w:t>Eksempler på løsøre er bl.a. møbler, køkkenservice, el-apparater, hårde hvidevarer, gardiner, gulvtæpper, værktøj, og haveredskaber…</w:t>
      </w:r>
    </w:p>
    <w:p w14:paraId="7ECF3BBE" w14:textId="77777777" w:rsidR="00482991" w:rsidRPr="00482991" w:rsidRDefault="00482991" w:rsidP="00482991">
      <w:pPr>
        <w:jc w:val="both"/>
        <w:rPr>
          <w:rFonts w:asciiTheme="minorHAnsi" w:hAnsiTheme="minorHAnsi" w:cstheme="minorHAnsi"/>
        </w:rPr>
      </w:pPr>
    </w:p>
    <w:p w14:paraId="6F33EA3F" w14:textId="77777777" w:rsidR="00482991" w:rsidRPr="00482991" w:rsidRDefault="00482991" w:rsidP="00482991">
      <w:pPr>
        <w:jc w:val="both"/>
        <w:rPr>
          <w:rFonts w:asciiTheme="minorHAnsi" w:hAnsiTheme="minorHAnsi" w:cstheme="minorHAnsi"/>
          <w:b/>
          <w:bCs/>
        </w:rPr>
      </w:pPr>
      <w:r w:rsidRPr="00482991">
        <w:rPr>
          <w:rFonts w:asciiTheme="minorHAnsi" w:hAnsiTheme="minorHAnsi" w:cstheme="minorHAnsi"/>
          <w:b/>
          <w:bCs/>
        </w:rPr>
        <w:t>Løsøreværdiberegning</w:t>
      </w:r>
    </w:p>
    <w:p w14:paraId="35AE6767" w14:textId="77777777" w:rsidR="00482991" w:rsidRDefault="00482991" w:rsidP="00482991">
      <w:pPr>
        <w:jc w:val="both"/>
        <w:rPr>
          <w:rFonts w:asciiTheme="minorHAnsi" w:hAnsiTheme="minorHAnsi" w:cstheme="minorHAnsi"/>
        </w:rPr>
      </w:pPr>
      <w:r w:rsidRPr="00482991">
        <w:rPr>
          <w:rFonts w:asciiTheme="minorHAnsi" w:hAnsiTheme="minorHAnsi" w:cstheme="minorHAnsi"/>
        </w:rPr>
        <w:t>Når en kolonihave er vurderet af afdelingens vurderingsudvalg, er der mulighed for at tillægge vurderings-prisen et beløb for det løsøre som sælger lader følge med handlen.</w:t>
      </w:r>
    </w:p>
    <w:p w14:paraId="7EC19F46" w14:textId="77777777" w:rsidR="00482991" w:rsidRPr="00482991" w:rsidRDefault="00482991" w:rsidP="00482991">
      <w:pPr>
        <w:jc w:val="both"/>
        <w:rPr>
          <w:rFonts w:asciiTheme="minorHAnsi" w:hAnsiTheme="minorHAnsi" w:cstheme="minorHAnsi"/>
        </w:rPr>
      </w:pPr>
    </w:p>
    <w:p w14:paraId="65083DDC" w14:textId="77777777" w:rsidR="00482991" w:rsidRPr="00482991" w:rsidRDefault="00482991" w:rsidP="00482991">
      <w:pPr>
        <w:jc w:val="both"/>
        <w:rPr>
          <w:rFonts w:asciiTheme="minorHAnsi" w:hAnsiTheme="minorHAnsi" w:cstheme="minorHAnsi"/>
        </w:rPr>
      </w:pPr>
      <w:r w:rsidRPr="00482991">
        <w:rPr>
          <w:rFonts w:asciiTheme="minorHAnsi" w:hAnsiTheme="minorHAnsi" w:cstheme="minorHAnsi"/>
        </w:rPr>
        <w:t>Følgende overordnede regler gælder for denne værdiansættelse:</w:t>
      </w:r>
    </w:p>
    <w:p w14:paraId="0839FD76" w14:textId="77777777" w:rsidR="00482991" w:rsidRDefault="00482991" w:rsidP="00482991">
      <w:pPr>
        <w:jc w:val="both"/>
        <w:rPr>
          <w:rFonts w:asciiTheme="minorHAnsi" w:hAnsiTheme="minorHAnsi" w:cstheme="minorHAnsi"/>
        </w:rPr>
      </w:pPr>
      <w:r>
        <w:rPr>
          <w:rFonts w:asciiTheme="minorHAnsi" w:hAnsiTheme="minorHAnsi" w:cstheme="minorHAnsi"/>
        </w:rPr>
        <w:t>-</w:t>
      </w:r>
      <w:r w:rsidRPr="00482991">
        <w:rPr>
          <w:rFonts w:asciiTheme="minorHAnsi" w:hAnsiTheme="minorHAnsi" w:cstheme="minorHAnsi"/>
        </w:rPr>
        <w:t>Løsørebeløbet kan maksimalt udgøre 20% af den vurderingspris, som afdelingens vurderingsudvalg beregner for kolonihaven. Herudover er der en kontant begrænsning, nemlig at de 20% maksimalt kan udgøre i alt 65.000 kroner.</w:t>
      </w:r>
    </w:p>
    <w:p w14:paraId="33BD57DB" w14:textId="77777777" w:rsidR="00482991" w:rsidRPr="00482991" w:rsidRDefault="00482991" w:rsidP="00482991">
      <w:pPr>
        <w:jc w:val="both"/>
        <w:rPr>
          <w:rFonts w:asciiTheme="minorHAnsi" w:hAnsiTheme="minorHAnsi" w:cstheme="minorHAnsi"/>
        </w:rPr>
      </w:pPr>
    </w:p>
    <w:p w14:paraId="01E04B0C" w14:textId="77777777" w:rsidR="00482991" w:rsidRDefault="00482991" w:rsidP="00482991">
      <w:pPr>
        <w:jc w:val="both"/>
        <w:rPr>
          <w:rFonts w:asciiTheme="minorHAnsi" w:hAnsiTheme="minorHAnsi" w:cstheme="minorHAnsi"/>
        </w:rPr>
      </w:pPr>
      <w:r w:rsidRPr="00482991">
        <w:rPr>
          <w:rFonts w:asciiTheme="minorHAnsi" w:hAnsiTheme="minorHAnsi" w:cstheme="minorHAnsi"/>
        </w:rPr>
        <w:t>Muligheden for at få en tillægspris for løsøre forudsætter dog, at værdien for hver enkelt løsøredel er prissat realistisk (se under udfyldelse af løsøreattest nedenfor). Der kan aldrig forlanges et højere beløb for løsøre, end det beskrevne løsøre er prissat til</w:t>
      </w:r>
      <w:r>
        <w:rPr>
          <w:rFonts w:asciiTheme="minorHAnsi" w:hAnsiTheme="minorHAnsi" w:cstheme="minorHAnsi"/>
        </w:rPr>
        <w:t>, uanset 20%-reglen og/eller 65.000 kroners reglen.</w:t>
      </w:r>
    </w:p>
    <w:p w14:paraId="14ABC0B6" w14:textId="77777777" w:rsidR="00482991" w:rsidRPr="00482991" w:rsidRDefault="00482991" w:rsidP="00482991">
      <w:pPr>
        <w:jc w:val="both"/>
        <w:rPr>
          <w:rFonts w:asciiTheme="minorHAnsi" w:hAnsiTheme="minorHAnsi" w:cstheme="minorHAnsi"/>
        </w:rPr>
      </w:pPr>
    </w:p>
    <w:p w14:paraId="1C0CC630" w14:textId="77777777" w:rsidR="00482991" w:rsidRDefault="00482991" w:rsidP="00482991">
      <w:pPr>
        <w:jc w:val="both"/>
        <w:rPr>
          <w:rFonts w:asciiTheme="minorHAnsi" w:hAnsiTheme="minorHAnsi" w:cstheme="minorHAnsi"/>
        </w:rPr>
      </w:pPr>
      <w:r w:rsidRPr="00482991">
        <w:rPr>
          <w:rFonts w:asciiTheme="minorHAnsi" w:hAnsiTheme="minorHAnsi" w:cstheme="minorHAnsi"/>
          <w:u w:val="single"/>
        </w:rPr>
        <w:t>Husk:</w:t>
      </w:r>
      <w:r w:rsidRPr="00482991">
        <w:rPr>
          <w:rFonts w:asciiTheme="minorHAnsi" w:hAnsiTheme="minorHAnsi" w:cstheme="minorHAnsi"/>
        </w:rPr>
        <w:t xml:space="preserve"> Køber er på ingen måde forpligtet til at overtage det beskrevne løsøre, hverken i sin helhed, eller til den pris sælger ønsker for løsøret. En egentlig forhandling kan altså her komme på tale, for at finde det beløb som sælger kan opnå for sit beskrevne løsøre.</w:t>
      </w:r>
    </w:p>
    <w:p w14:paraId="311BCF2B" w14:textId="77777777" w:rsidR="00482991" w:rsidRPr="00482991" w:rsidRDefault="00482991" w:rsidP="00482991">
      <w:pPr>
        <w:jc w:val="both"/>
        <w:rPr>
          <w:rFonts w:asciiTheme="minorHAnsi" w:hAnsiTheme="minorHAnsi" w:cstheme="minorHAnsi"/>
        </w:rPr>
      </w:pPr>
    </w:p>
    <w:p w14:paraId="12E77326" w14:textId="77777777" w:rsidR="00482991" w:rsidRPr="00482991" w:rsidRDefault="00482991" w:rsidP="00482991">
      <w:pPr>
        <w:jc w:val="both"/>
        <w:rPr>
          <w:rFonts w:asciiTheme="minorHAnsi" w:hAnsiTheme="minorHAnsi" w:cstheme="minorHAnsi"/>
          <w:b/>
          <w:bCs/>
        </w:rPr>
      </w:pPr>
      <w:r w:rsidRPr="00482991">
        <w:rPr>
          <w:rFonts w:asciiTheme="minorHAnsi" w:hAnsiTheme="minorHAnsi" w:cstheme="minorHAnsi"/>
          <w:b/>
          <w:bCs/>
        </w:rPr>
        <w:t>Løsøreattest</w:t>
      </w:r>
    </w:p>
    <w:p w14:paraId="54393A11" w14:textId="77777777" w:rsidR="00482991" w:rsidRDefault="00482991" w:rsidP="00482991">
      <w:pPr>
        <w:jc w:val="both"/>
        <w:rPr>
          <w:rFonts w:asciiTheme="minorHAnsi" w:hAnsiTheme="minorHAnsi" w:cstheme="minorHAnsi"/>
        </w:rPr>
      </w:pPr>
      <w:r w:rsidRPr="00482991">
        <w:rPr>
          <w:rFonts w:asciiTheme="minorHAnsi" w:hAnsiTheme="minorHAnsi" w:cstheme="minorHAnsi"/>
          <w:u w:val="single"/>
        </w:rPr>
        <w:t>Ved salg skal sælger altid udfylde en løsøreattest</w:t>
      </w:r>
      <w:r w:rsidRPr="00482991">
        <w:rPr>
          <w:rFonts w:asciiTheme="minorHAnsi" w:hAnsiTheme="minorHAnsi" w:cstheme="minorHAnsi"/>
        </w:rPr>
        <w:t xml:space="preserve">, der beskriver hver enkelt </w:t>
      </w:r>
      <w:r>
        <w:rPr>
          <w:rFonts w:asciiTheme="minorHAnsi" w:hAnsiTheme="minorHAnsi" w:cstheme="minorHAnsi"/>
        </w:rPr>
        <w:t xml:space="preserve">stykke </w:t>
      </w:r>
      <w:r w:rsidRPr="00482991">
        <w:rPr>
          <w:rFonts w:asciiTheme="minorHAnsi" w:hAnsiTheme="minorHAnsi" w:cstheme="minorHAnsi"/>
        </w:rPr>
        <w:t>løsør</w:t>
      </w:r>
      <w:r>
        <w:rPr>
          <w:rFonts w:asciiTheme="minorHAnsi" w:hAnsiTheme="minorHAnsi" w:cstheme="minorHAnsi"/>
        </w:rPr>
        <w:t>e</w:t>
      </w:r>
      <w:r w:rsidRPr="00482991">
        <w:rPr>
          <w:rFonts w:asciiTheme="minorHAnsi" w:hAnsiTheme="minorHAnsi" w:cstheme="minorHAnsi"/>
        </w:rPr>
        <w:t xml:space="preserve"> der følger med handlen, altså hvad der i hver enkelt rum af kolonihavehuset bliver stående og </w:t>
      </w:r>
      <w:r>
        <w:rPr>
          <w:rFonts w:asciiTheme="minorHAnsi" w:hAnsiTheme="minorHAnsi" w:cstheme="minorHAnsi"/>
        </w:rPr>
        <w:t xml:space="preserve">sælger derfor ønsker skal </w:t>
      </w:r>
      <w:r w:rsidRPr="00482991">
        <w:rPr>
          <w:rFonts w:asciiTheme="minorHAnsi" w:hAnsiTheme="minorHAnsi" w:cstheme="minorHAnsi"/>
        </w:rPr>
        <w:t>følge med i handlen i handlen</w:t>
      </w:r>
      <w:r>
        <w:rPr>
          <w:rFonts w:asciiTheme="minorHAnsi" w:hAnsiTheme="minorHAnsi" w:cstheme="minorHAnsi"/>
        </w:rPr>
        <w:t>.</w:t>
      </w:r>
    </w:p>
    <w:p w14:paraId="32758009" w14:textId="77777777" w:rsidR="00482991" w:rsidRPr="00482991" w:rsidRDefault="00482991" w:rsidP="00482991">
      <w:pPr>
        <w:jc w:val="both"/>
        <w:rPr>
          <w:rFonts w:asciiTheme="minorHAnsi" w:hAnsiTheme="minorHAnsi" w:cstheme="minorHAnsi"/>
        </w:rPr>
      </w:pPr>
    </w:p>
    <w:p w14:paraId="60BD9549" w14:textId="77777777" w:rsidR="00482991" w:rsidRPr="00482991" w:rsidRDefault="00482991" w:rsidP="00482991">
      <w:pPr>
        <w:jc w:val="both"/>
        <w:rPr>
          <w:rFonts w:asciiTheme="minorHAnsi" w:hAnsiTheme="minorHAnsi" w:cstheme="minorHAnsi"/>
        </w:rPr>
      </w:pPr>
      <w:r w:rsidRPr="00482991">
        <w:rPr>
          <w:rFonts w:asciiTheme="minorHAnsi" w:hAnsiTheme="minorHAnsi" w:cstheme="minorHAnsi"/>
        </w:rPr>
        <w:t>-for inventar beskrives art og udseende, fx ”sort lænestol med læderhynder”, ”stribede gardiner med ophæng” og ”tre kobberlysestager samt tre glasvaser”</w:t>
      </w:r>
    </w:p>
    <w:p w14:paraId="6414FE50" w14:textId="77777777" w:rsidR="00482991" w:rsidRPr="00482991" w:rsidRDefault="00482991" w:rsidP="00482991">
      <w:pPr>
        <w:jc w:val="both"/>
        <w:rPr>
          <w:rFonts w:asciiTheme="minorHAnsi" w:hAnsiTheme="minorHAnsi" w:cstheme="minorHAnsi"/>
        </w:rPr>
      </w:pPr>
      <w:r w:rsidRPr="00482991">
        <w:rPr>
          <w:rFonts w:asciiTheme="minorHAnsi" w:hAnsiTheme="minorHAnsi" w:cstheme="minorHAnsi"/>
        </w:rPr>
        <w:t>-for hårde hvidevarer er det et krav, at mærke og model beskrives, inkl. alder på hvidevarerne</w:t>
      </w:r>
    </w:p>
    <w:p w14:paraId="146D3961" w14:textId="77777777" w:rsidR="00482991" w:rsidRPr="00482991" w:rsidRDefault="00482991" w:rsidP="00482991">
      <w:pPr>
        <w:jc w:val="both"/>
        <w:rPr>
          <w:rFonts w:asciiTheme="minorHAnsi" w:hAnsiTheme="minorHAnsi" w:cstheme="minorHAnsi"/>
        </w:rPr>
      </w:pPr>
      <w:r w:rsidRPr="00482991">
        <w:rPr>
          <w:rFonts w:asciiTheme="minorHAnsi" w:hAnsiTheme="minorHAnsi" w:cstheme="minorHAnsi"/>
        </w:rPr>
        <w:t>-for køkkenservice beskrives mærke eller udseende samt antal dele for hver enkelt art, altså kopper, underkopper, tallerkener, knive, gafler og så videre</w:t>
      </w:r>
    </w:p>
    <w:p w14:paraId="3D3EEA72" w14:textId="77777777" w:rsidR="00482991" w:rsidRDefault="00482991" w:rsidP="00482991">
      <w:pPr>
        <w:jc w:val="both"/>
        <w:rPr>
          <w:rFonts w:asciiTheme="minorHAnsi" w:hAnsiTheme="minorHAnsi" w:cstheme="minorHAnsi"/>
        </w:rPr>
      </w:pPr>
      <w:r w:rsidRPr="00482991">
        <w:rPr>
          <w:rFonts w:asciiTheme="minorHAnsi" w:hAnsiTheme="minorHAnsi" w:cstheme="minorHAnsi"/>
        </w:rPr>
        <w:t>-for værktøj beskrives alene elektrisk og/eller batteridrevet værktøj</w:t>
      </w:r>
    </w:p>
    <w:p w14:paraId="31B4F7B3" w14:textId="77777777" w:rsidR="00482991" w:rsidRPr="00482991" w:rsidRDefault="00482991" w:rsidP="00482991">
      <w:pPr>
        <w:jc w:val="both"/>
        <w:rPr>
          <w:rFonts w:asciiTheme="minorHAnsi" w:hAnsiTheme="minorHAnsi" w:cstheme="minorHAnsi"/>
        </w:rPr>
      </w:pPr>
    </w:p>
    <w:p w14:paraId="068F512B" w14:textId="77777777" w:rsidR="003921DC" w:rsidRPr="00482991" w:rsidRDefault="00482991" w:rsidP="00482991">
      <w:pPr>
        <w:jc w:val="both"/>
        <w:rPr>
          <w:rFonts w:asciiTheme="minorHAnsi" w:hAnsiTheme="minorHAnsi" w:cstheme="minorHAnsi"/>
          <w:b/>
          <w:bCs/>
        </w:rPr>
      </w:pPr>
      <w:r w:rsidRPr="00482991">
        <w:rPr>
          <w:rFonts w:asciiTheme="minorHAnsi" w:hAnsiTheme="minorHAnsi" w:cstheme="minorHAnsi"/>
        </w:rPr>
        <w:t>Løsøreattesten skal i øvrigt afleveres i underskrevet stand (sælgers underskrift) til afdelingens formand, inden afdelingens vurderingsudvalg kan rekvireres og dermed værdiansætte havens handelspris.</w:t>
      </w:r>
      <w:r w:rsidRPr="00482991">
        <w:rPr>
          <w:rFonts w:asciiTheme="minorHAnsi" w:hAnsiTheme="minorHAnsi" w:cstheme="minorHAnsi"/>
          <w:b/>
          <w:bCs/>
        </w:rPr>
        <w:t xml:space="preserve"> </w:t>
      </w:r>
    </w:p>
    <w:sectPr w:rsidR="003921DC" w:rsidRPr="00482991" w:rsidSect="00482991">
      <w:headerReference w:type="default" r:id="rId8"/>
      <w:footerReference w:type="default" r:id="rId9"/>
      <w:pgSz w:w="11906" w:h="16838"/>
      <w:pgMar w:top="1701"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0D456" w14:textId="77777777" w:rsidR="008838CF" w:rsidRDefault="008838CF" w:rsidP="00EC0F74">
      <w:r>
        <w:separator/>
      </w:r>
    </w:p>
  </w:endnote>
  <w:endnote w:type="continuationSeparator" w:id="0">
    <w:p w14:paraId="01F2D2E6" w14:textId="77777777" w:rsidR="008838CF" w:rsidRDefault="008838CF" w:rsidP="00EC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0F4E1" w14:textId="77777777" w:rsidR="00C666EC" w:rsidRPr="00482991" w:rsidRDefault="00974703" w:rsidP="00974703">
    <w:pPr>
      <w:pStyle w:val="Sidefod"/>
      <w:jc w:val="center"/>
      <w:rPr>
        <w:rFonts w:ascii="Comic Sans MS" w:hAnsi="Comic Sans MS"/>
        <w:color w:val="A6A6A6" w:themeColor="background1" w:themeShade="A6"/>
        <w:sz w:val="24"/>
        <w:szCs w:val="24"/>
      </w:rPr>
    </w:pPr>
    <w:r w:rsidRPr="00482991">
      <w:rPr>
        <w:rFonts w:ascii="Comic Sans MS" w:hAnsi="Comic Sans MS"/>
        <w:color w:val="A6A6A6" w:themeColor="background1" w:themeShade="A6"/>
        <w:sz w:val="24"/>
        <w:szCs w:val="24"/>
      </w:rPr>
      <w:t>Mosebjergvej 12-14</w:t>
    </w:r>
  </w:p>
  <w:p w14:paraId="04FF1E21" w14:textId="77777777" w:rsidR="00974703" w:rsidRDefault="00974703" w:rsidP="00974703">
    <w:pPr>
      <w:pStyle w:val="Sidefod"/>
      <w:jc w:val="center"/>
      <w:rPr>
        <w:rFonts w:ascii="Comic Sans MS" w:hAnsi="Comic Sans MS"/>
        <w:color w:val="A6A6A6" w:themeColor="background1" w:themeShade="A6"/>
        <w:sz w:val="24"/>
        <w:szCs w:val="24"/>
      </w:rPr>
    </w:pPr>
    <w:r w:rsidRPr="00482991">
      <w:rPr>
        <w:rFonts w:ascii="Comic Sans MS" w:hAnsi="Comic Sans MS"/>
        <w:color w:val="A6A6A6" w:themeColor="background1" w:themeShade="A6"/>
        <w:sz w:val="24"/>
        <w:szCs w:val="24"/>
      </w:rPr>
      <w:t>2605 Brøndby</w:t>
    </w:r>
  </w:p>
  <w:p w14:paraId="4A3388EB" w14:textId="77777777" w:rsidR="00482991" w:rsidRDefault="00482991" w:rsidP="00974703">
    <w:pPr>
      <w:pStyle w:val="Sidefod"/>
      <w:jc w:val="center"/>
      <w:rPr>
        <w:rFonts w:ascii="Comic Sans MS" w:hAnsi="Comic Sans MS"/>
        <w:color w:val="A6A6A6" w:themeColor="background1" w:themeShade="A6"/>
        <w:sz w:val="24"/>
        <w:szCs w:val="24"/>
      </w:rPr>
    </w:pPr>
    <w:r>
      <w:rPr>
        <w:rFonts w:ascii="Comic Sans MS" w:hAnsi="Comic Sans MS"/>
        <w:color w:val="A6A6A6" w:themeColor="background1" w:themeShade="A6"/>
        <w:sz w:val="24"/>
        <w:szCs w:val="24"/>
      </w:rPr>
      <w:t>broendbyhaveafd4.dk</w:t>
    </w:r>
  </w:p>
  <w:p w14:paraId="36186A4D" w14:textId="77777777" w:rsidR="00482991" w:rsidRPr="00482991" w:rsidRDefault="00482991" w:rsidP="00482991">
    <w:pPr>
      <w:pStyle w:val="Sidefod"/>
      <w:rPr>
        <w:color w:val="A6A6A6" w:themeColor="background1" w:themeShade="A6"/>
        <w:sz w:val="16"/>
        <w:szCs w:val="16"/>
      </w:rPr>
    </w:pPr>
    <w:r>
      <w:rPr>
        <w:rFonts w:ascii="Comic Sans MS" w:hAnsi="Comic Sans MS"/>
        <w:color w:val="A6A6A6" w:themeColor="background1" w:themeShade="A6"/>
        <w:sz w:val="16"/>
        <w:szCs w:val="16"/>
      </w:rPr>
      <w:tab/>
    </w:r>
    <w:r>
      <w:rPr>
        <w:rFonts w:ascii="Comic Sans MS" w:hAnsi="Comic Sans MS"/>
        <w:color w:val="A6A6A6" w:themeColor="background1" w:themeShade="A6"/>
        <w:sz w:val="16"/>
        <w:szCs w:val="16"/>
      </w:rPr>
      <w:tab/>
    </w:r>
    <w:r w:rsidRPr="00482991">
      <w:rPr>
        <w:rFonts w:ascii="Comic Sans MS" w:hAnsi="Comic Sans MS"/>
        <w:color w:val="A6A6A6" w:themeColor="background1" w:themeShade="A6"/>
        <w:sz w:val="16"/>
        <w:szCs w:val="16"/>
      </w:rPr>
      <w:t>dokument udfærdiget 2019</w:t>
    </w:r>
  </w:p>
  <w:p w14:paraId="61B2D806" w14:textId="77777777" w:rsidR="00487521" w:rsidRDefault="0048752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3A1A" w14:textId="77777777" w:rsidR="008838CF" w:rsidRDefault="008838CF" w:rsidP="00EC0F74">
      <w:r>
        <w:separator/>
      </w:r>
    </w:p>
  </w:footnote>
  <w:footnote w:type="continuationSeparator" w:id="0">
    <w:p w14:paraId="02371D09" w14:textId="77777777" w:rsidR="008838CF" w:rsidRDefault="008838CF" w:rsidP="00EC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98882" w14:textId="77777777" w:rsidR="00EC0F74" w:rsidRPr="00482991" w:rsidRDefault="00031119" w:rsidP="00EC0F74">
    <w:pPr>
      <w:pStyle w:val="Sidehoved"/>
      <w:jc w:val="center"/>
      <w:rPr>
        <w:rFonts w:ascii="Comic Sans MS" w:hAnsi="Comic Sans MS"/>
        <w:b/>
        <w:color w:val="A6A6A6" w:themeColor="background1" w:themeShade="A6"/>
        <w:sz w:val="44"/>
        <w:szCs w:val="44"/>
      </w:rPr>
    </w:pPr>
    <w:r w:rsidRPr="00482991">
      <w:rPr>
        <w:rFonts w:ascii="Comic Sans MS" w:hAnsi="Comic Sans MS"/>
        <w:b/>
        <w:color w:val="A6A6A6" w:themeColor="background1" w:themeShade="A6"/>
        <w:sz w:val="44"/>
        <w:szCs w:val="44"/>
      </w:rPr>
      <w:t xml:space="preserve">Brøndbyernes </w:t>
    </w:r>
    <w:proofErr w:type="spellStart"/>
    <w:r w:rsidRPr="00482991">
      <w:rPr>
        <w:rFonts w:ascii="Comic Sans MS" w:hAnsi="Comic Sans MS"/>
        <w:b/>
        <w:color w:val="A6A6A6" w:themeColor="background1" w:themeShade="A6"/>
        <w:sz w:val="44"/>
        <w:szCs w:val="44"/>
      </w:rPr>
      <w:t>Haveby</w:t>
    </w:r>
    <w:proofErr w:type="spellEnd"/>
    <w:r w:rsidRPr="00482991">
      <w:rPr>
        <w:rFonts w:ascii="Comic Sans MS" w:hAnsi="Comic Sans MS"/>
        <w:b/>
        <w:color w:val="A6A6A6" w:themeColor="background1" w:themeShade="A6"/>
        <w:sz w:val="44"/>
        <w:szCs w:val="44"/>
      </w:rPr>
      <w:t xml:space="preserve"> Afd. 4</w:t>
    </w:r>
  </w:p>
  <w:p w14:paraId="2B66AB4F" w14:textId="77777777" w:rsidR="00482991" w:rsidRPr="00482991" w:rsidRDefault="00482991" w:rsidP="00482991">
    <w:pPr>
      <w:pStyle w:val="Sidehoved"/>
      <w:rPr>
        <w:rFonts w:ascii="Comic Sans MS" w:hAnsi="Comic Sans MS"/>
        <w:b/>
        <w:color w:val="A6A6A6" w:themeColor="background1" w:themeShade="A6"/>
        <w:sz w:val="24"/>
        <w:szCs w:val="24"/>
      </w:rPr>
    </w:pPr>
  </w:p>
  <w:p w14:paraId="1CC6C580" w14:textId="77777777" w:rsidR="00EC0F74" w:rsidRDefault="00EC0F7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2A0B"/>
    <w:multiLevelType w:val="hybridMultilevel"/>
    <w:tmpl w:val="9EEE805E"/>
    <w:lvl w:ilvl="0" w:tplc="04060015">
      <w:start w:val="15"/>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9AE67CD"/>
    <w:multiLevelType w:val="hybridMultilevel"/>
    <w:tmpl w:val="DF266C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FE003B5"/>
    <w:multiLevelType w:val="hybridMultilevel"/>
    <w:tmpl w:val="AD2E43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1266609"/>
    <w:multiLevelType w:val="hybridMultilevel"/>
    <w:tmpl w:val="4866C9AA"/>
    <w:lvl w:ilvl="0" w:tplc="1B0AD87A">
      <w:start w:val="1"/>
      <w:numFmt w:val="decimal"/>
      <w:lvlText w:val="%1."/>
      <w:lvlJc w:val="left"/>
      <w:pPr>
        <w:ind w:left="6315" w:hanging="360"/>
      </w:pPr>
      <w:rPr>
        <w:rFonts w:hint="default"/>
      </w:rPr>
    </w:lvl>
    <w:lvl w:ilvl="1" w:tplc="04060019" w:tentative="1">
      <w:start w:val="1"/>
      <w:numFmt w:val="lowerLetter"/>
      <w:lvlText w:val="%2."/>
      <w:lvlJc w:val="left"/>
      <w:pPr>
        <w:ind w:left="7035" w:hanging="360"/>
      </w:pPr>
    </w:lvl>
    <w:lvl w:ilvl="2" w:tplc="0406001B" w:tentative="1">
      <w:start w:val="1"/>
      <w:numFmt w:val="lowerRoman"/>
      <w:lvlText w:val="%3."/>
      <w:lvlJc w:val="right"/>
      <w:pPr>
        <w:ind w:left="7755" w:hanging="180"/>
      </w:pPr>
    </w:lvl>
    <w:lvl w:ilvl="3" w:tplc="0406000F" w:tentative="1">
      <w:start w:val="1"/>
      <w:numFmt w:val="decimal"/>
      <w:lvlText w:val="%4."/>
      <w:lvlJc w:val="left"/>
      <w:pPr>
        <w:ind w:left="8475" w:hanging="360"/>
      </w:pPr>
    </w:lvl>
    <w:lvl w:ilvl="4" w:tplc="04060019" w:tentative="1">
      <w:start w:val="1"/>
      <w:numFmt w:val="lowerLetter"/>
      <w:lvlText w:val="%5."/>
      <w:lvlJc w:val="left"/>
      <w:pPr>
        <w:ind w:left="9195" w:hanging="360"/>
      </w:pPr>
    </w:lvl>
    <w:lvl w:ilvl="5" w:tplc="0406001B" w:tentative="1">
      <w:start w:val="1"/>
      <w:numFmt w:val="lowerRoman"/>
      <w:lvlText w:val="%6."/>
      <w:lvlJc w:val="right"/>
      <w:pPr>
        <w:ind w:left="9915" w:hanging="180"/>
      </w:pPr>
    </w:lvl>
    <w:lvl w:ilvl="6" w:tplc="0406000F" w:tentative="1">
      <w:start w:val="1"/>
      <w:numFmt w:val="decimal"/>
      <w:lvlText w:val="%7."/>
      <w:lvlJc w:val="left"/>
      <w:pPr>
        <w:ind w:left="10635" w:hanging="360"/>
      </w:pPr>
    </w:lvl>
    <w:lvl w:ilvl="7" w:tplc="04060019" w:tentative="1">
      <w:start w:val="1"/>
      <w:numFmt w:val="lowerLetter"/>
      <w:lvlText w:val="%8."/>
      <w:lvlJc w:val="left"/>
      <w:pPr>
        <w:ind w:left="11355" w:hanging="360"/>
      </w:pPr>
    </w:lvl>
    <w:lvl w:ilvl="8" w:tplc="0406001B" w:tentative="1">
      <w:start w:val="1"/>
      <w:numFmt w:val="lowerRoman"/>
      <w:lvlText w:val="%9."/>
      <w:lvlJc w:val="right"/>
      <w:pPr>
        <w:ind w:left="12075" w:hanging="180"/>
      </w:pPr>
    </w:lvl>
  </w:abstractNum>
  <w:abstractNum w:abstractNumId="4" w15:restartNumberingAfterBreak="0">
    <w:nsid w:val="6F805513"/>
    <w:multiLevelType w:val="hybridMultilevel"/>
    <w:tmpl w:val="ABEABD9E"/>
    <w:lvl w:ilvl="0" w:tplc="42DEB596">
      <w:start w:val="1"/>
      <w:numFmt w:val="decimal"/>
      <w:lvlText w:val="%1."/>
      <w:lvlJc w:val="left"/>
      <w:pPr>
        <w:ind w:left="6390" w:hanging="360"/>
      </w:pPr>
      <w:rPr>
        <w:rFonts w:hint="default"/>
      </w:rPr>
    </w:lvl>
    <w:lvl w:ilvl="1" w:tplc="04060019" w:tentative="1">
      <w:start w:val="1"/>
      <w:numFmt w:val="lowerLetter"/>
      <w:lvlText w:val="%2."/>
      <w:lvlJc w:val="left"/>
      <w:pPr>
        <w:ind w:left="7110" w:hanging="360"/>
      </w:pPr>
    </w:lvl>
    <w:lvl w:ilvl="2" w:tplc="0406001B" w:tentative="1">
      <w:start w:val="1"/>
      <w:numFmt w:val="lowerRoman"/>
      <w:lvlText w:val="%3."/>
      <w:lvlJc w:val="right"/>
      <w:pPr>
        <w:ind w:left="7830" w:hanging="180"/>
      </w:pPr>
    </w:lvl>
    <w:lvl w:ilvl="3" w:tplc="0406000F" w:tentative="1">
      <w:start w:val="1"/>
      <w:numFmt w:val="decimal"/>
      <w:lvlText w:val="%4."/>
      <w:lvlJc w:val="left"/>
      <w:pPr>
        <w:ind w:left="8550" w:hanging="360"/>
      </w:pPr>
    </w:lvl>
    <w:lvl w:ilvl="4" w:tplc="04060019" w:tentative="1">
      <w:start w:val="1"/>
      <w:numFmt w:val="lowerLetter"/>
      <w:lvlText w:val="%5."/>
      <w:lvlJc w:val="left"/>
      <w:pPr>
        <w:ind w:left="9270" w:hanging="360"/>
      </w:pPr>
    </w:lvl>
    <w:lvl w:ilvl="5" w:tplc="0406001B" w:tentative="1">
      <w:start w:val="1"/>
      <w:numFmt w:val="lowerRoman"/>
      <w:lvlText w:val="%6."/>
      <w:lvlJc w:val="right"/>
      <w:pPr>
        <w:ind w:left="9990" w:hanging="180"/>
      </w:pPr>
    </w:lvl>
    <w:lvl w:ilvl="6" w:tplc="0406000F" w:tentative="1">
      <w:start w:val="1"/>
      <w:numFmt w:val="decimal"/>
      <w:lvlText w:val="%7."/>
      <w:lvlJc w:val="left"/>
      <w:pPr>
        <w:ind w:left="10710" w:hanging="360"/>
      </w:pPr>
    </w:lvl>
    <w:lvl w:ilvl="7" w:tplc="04060019" w:tentative="1">
      <w:start w:val="1"/>
      <w:numFmt w:val="lowerLetter"/>
      <w:lvlText w:val="%8."/>
      <w:lvlJc w:val="left"/>
      <w:pPr>
        <w:ind w:left="11430" w:hanging="360"/>
      </w:pPr>
    </w:lvl>
    <w:lvl w:ilvl="8" w:tplc="0406001B" w:tentative="1">
      <w:start w:val="1"/>
      <w:numFmt w:val="lowerRoman"/>
      <w:lvlText w:val="%9."/>
      <w:lvlJc w:val="right"/>
      <w:pPr>
        <w:ind w:left="1215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F74"/>
    <w:rsid w:val="00031119"/>
    <w:rsid w:val="00045F30"/>
    <w:rsid w:val="00097A74"/>
    <w:rsid w:val="0016291B"/>
    <w:rsid w:val="002351BD"/>
    <w:rsid w:val="002422CE"/>
    <w:rsid w:val="00252BC3"/>
    <w:rsid w:val="0032219F"/>
    <w:rsid w:val="003921DC"/>
    <w:rsid w:val="003D358B"/>
    <w:rsid w:val="00430276"/>
    <w:rsid w:val="00482991"/>
    <w:rsid w:val="00487521"/>
    <w:rsid w:val="004C4D3C"/>
    <w:rsid w:val="00597023"/>
    <w:rsid w:val="005B4F32"/>
    <w:rsid w:val="005E2D00"/>
    <w:rsid w:val="005F6E07"/>
    <w:rsid w:val="00611CAB"/>
    <w:rsid w:val="006C221D"/>
    <w:rsid w:val="006D3C17"/>
    <w:rsid w:val="00726060"/>
    <w:rsid w:val="007C72FA"/>
    <w:rsid w:val="008838CF"/>
    <w:rsid w:val="008F4817"/>
    <w:rsid w:val="009314D9"/>
    <w:rsid w:val="00974703"/>
    <w:rsid w:val="009749AE"/>
    <w:rsid w:val="009E5A15"/>
    <w:rsid w:val="00A20E38"/>
    <w:rsid w:val="00A3713C"/>
    <w:rsid w:val="00A533AA"/>
    <w:rsid w:val="00B201E4"/>
    <w:rsid w:val="00B96C14"/>
    <w:rsid w:val="00BD4439"/>
    <w:rsid w:val="00BE7EB9"/>
    <w:rsid w:val="00C14A37"/>
    <w:rsid w:val="00C25E98"/>
    <w:rsid w:val="00C666EC"/>
    <w:rsid w:val="00CA71D1"/>
    <w:rsid w:val="00D21A40"/>
    <w:rsid w:val="00D32E6A"/>
    <w:rsid w:val="00D82145"/>
    <w:rsid w:val="00DD46E0"/>
    <w:rsid w:val="00E257C2"/>
    <w:rsid w:val="00EB0921"/>
    <w:rsid w:val="00EB1A72"/>
    <w:rsid w:val="00EC0F74"/>
    <w:rsid w:val="00EC6E60"/>
    <w:rsid w:val="00EC759D"/>
    <w:rsid w:val="00EE2055"/>
    <w:rsid w:val="00F42C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2562A"/>
  <w15:docId w15:val="{FECC0F39-536D-49B2-BDC5-E2DD4F67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21DC"/>
    <w:pPr>
      <w:suppressAutoHyphens/>
      <w:spacing w:after="0" w:line="240" w:lineRule="auto"/>
    </w:pPr>
    <w:rPr>
      <w:rFonts w:ascii="Times New Roman" w:eastAsia="Times New Roman" w:hAnsi="Times New Roman" w:cs="Times New Roman"/>
      <w:sz w:val="24"/>
      <w:szCs w:val="24"/>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C0F74"/>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EC0F74"/>
  </w:style>
  <w:style w:type="paragraph" w:styleId="Sidefod">
    <w:name w:val="footer"/>
    <w:basedOn w:val="Normal"/>
    <w:link w:val="SidefodTegn"/>
    <w:uiPriority w:val="99"/>
    <w:unhideWhenUsed/>
    <w:rsid w:val="00EC0F74"/>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EC0F74"/>
  </w:style>
  <w:style w:type="paragraph" w:styleId="Markeringsbobletekst">
    <w:name w:val="Balloon Text"/>
    <w:basedOn w:val="Normal"/>
    <w:link w:val="MarkeringsbobletekstTegn"/>
    <w:uiPriority w:val="99"/>
    <w:semiHidden/>
    <w:unhideWhenUsed/>
    <w:rsid w:val="00EC0F74"/>
    <w:pPr>
      <w:suppressAutoHyphens w:val="0"/>
    </w:pPr>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EC0F74"/>
    <w:rPr>
      <w:rFonts w:ascii="Tahoma" w:hAnsi="Tahoma" w:cs="Tahoma"/>
      <w:sz w:val="16"/>
      <w:szCs w:val="16"/>
    </w:rPr>
  </w:style>
  <w:style w:type="paragraph" w:styleId="Listeafsnit">
    <w:name w:val="List Paragraph"/>
    <w:basedOn w:val="Normal"/>
    <w:uiPriority w:val="34"/>
    <w:qFormat/>
    <w:rsid w:val="0048752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rdskrifttypeiafsnit"/>
    <w:semiHidden/>
    <w:rsid w:val="00392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2015-12-14T00:00:00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2183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dc:creator>
  <cp:lastModifiedBy>Hanne Schonemann</cp:lastModifiedBy>
  <cp:revision>2</cp:revision>
  <dcterms:created xsi:type="dcterms:W3CDTF">2019-09-18T14:19:00Z</dcterms:created>
  <dcterms:modified xsi:type="dcterms:W3CDTF">2019-09-18T14:19:00Z</dcterms:modified>
</cp:coreProperties>
</file>